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E6045" w14:textId="77777777" w:rsidR="008C75C1" w:rsidRDefault="008C75C1">
      <w:pPr>
        <w:rPr>
          <w:rFonts w:hAnsi="Times New Roman" w:cs="Times New Roman"/>
          <w:color w:val="000000"/>
          <w:sz w:val="24"/>
          <w:szCs w:val="24"/>
        </w:rPr>
      </w:pPr>
    </w:p>
    <w:p w14:paraId="34E02DD4" w14:textId="761C6A33" w:rsidR="008C75C1" w:rsidRDefault="005766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учетной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выдержки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3B232349" w14:textId="05900704" w:rsidR="000C51F4" w:rsidRPr="000C51F4" w:rsidRDefault="000C51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МБУ СК «Метар-Спорт»</w:t>
      </w:r>
    </w:p>
    <w:p w14:paraId="3183A4B3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A92D6D" w14:textId="73129508" w:rsidR="008C75C1" w:rsidRPr="000C51F4" w:rsidRDefault="005766E2" w:rsidP="000C51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возглавляемая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40A4E9" w14:textId="4594BCD1" w:rsidR="008C75C1" w:rsidRPr="000C51F4" w:rsidRDefault="000C51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электрон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«Бухгалтерия»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«Зарплата»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035137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каналов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34F8B43" w14:textId="590959FA" w:rsidR="008C75C1" w:rsidRPr="000C51F4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электрон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казначейства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9E72D6" w14:textId="56CDA9B4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учредителю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A8725B" w14:textId="2AF44F16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сборам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инспекцию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налоговой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37D524" w14:textId="798AB9A8" w:rsidR="008C75C1" w:rsidRPr="000C51F4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еление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Пенсионного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F895E0" w14:textId="5A016AD9" w:rsidR="008C75C1" w:rsidRPr="000C51F4" w:rsidRDefault="0038645A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>
        <w:rPr>
          <w:rFonts w:hAnsi="Times New Roman" w:cs="Times New Roman"/>
          <w:color w:val="000000"/>
          <w:sz w:val="24"/>
          <w:szCs w:val="24"/>
        </w:rPr>
        <w:t>bus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766E2">
        <w:rPr>
          <w:rFonts w:hAnsi="Times New Roman" w:cs="Times New Roman"/>
          <w:color w:val="000000"/>
          <w:sz w:val="24"/>
          <w:szCs w:val="24"/>
        </w:rPr>
        <w:t>gov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5766E2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9A9D5E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942E0A" w14:textId="326A73EB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="00580826">
        <w:rPr>
          <w:rFonts w:hAnsi="Times New Roman" w:cs="Times New Roman"/>
          <w:color w:val="000000"/>
          <w:sz w:val="24"/>
          <w:szCs w:val="24"/>
          <w:lang w:val="ru-RU"/>
        </w:rPr>
        <w:t>. Закрывающие документы проходят экспертизу на соответствие условиям контракта (договора) специалистом по за</w:t>
      </w:r>
      <w:r w:rsidR="00BD4D7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80826">
        <w:rPr>
          <w:rFonts w:hAnsi="Times New Roman" w:cs="Times New Roman"/>
          <w:color w:val="000000"/>
          <w:sz w:val="24"/>
          <w:szCs w:val="24"/>
          <w:lang w:val="ru-RU"/>
        </w:rPr>
        <w:t>упкам.</w:t>
      </w:r>
    </w:p>
    <w:p w14:paraId="2BB6F819" w14:textId="2563F7A5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ежегодными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588EFB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стандартах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71F9FD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уждением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9051B4" w14:textId="576B0B6F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="00D215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9B245B" w14:textId="6995360E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="00D2155E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 применяет </w:t>
      </w:r>
      <w:r w:rsidR="00D215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D2155E" w:rsidRPr="00D215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рупповой </w:t>
      </w:r>
      <w:r w:rsidR="00D215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 </w:t>
      </w:r>
      <w:r w:rsidR="00D2155E" w:rsidRPr="00D215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155E" w:rsidRPr="00D2155E">
        <w:rPr>
          <w:lang w:val="ru-RU"/>
        </w:rPr>
        <w:t>однотипны</w:t>
      </w:r>
      <w:r w:rsidR="00D2155E" w:rsidRPr="00D2155E">
        <w:rPr>
          <w:lang w:val="ru-RU"/>
        </w:rPr>
        <w:t>х</w:t>
      </w:r>
      <w:r w:rsidR="00D2155E" w:rsidRPr="00D2155E">
        <w:rPr>
          <w:lang w:val="ru-RU"/>
        </w:rPr>
        <w:t xml:space="preserve"> предмет</w:t>
      </w:r>
      <w:r w:rsidR="00D2155E" w:rsidRPr="00D2155E">
        <w:rPr>
          <w:lang w:val="ru-RU"/>
        </w:rPr>
        <w:t>ов</w:t>
      </w:r>
      <w:r w:rsidR="00D2155E" w:rsidRPr="00D2155E">
        <w:rPr>
          <w:lang w:val="ru-RU"/>
        </w:rPr>
        <w:t xml:space="preserve"> одинаковой стоимости (хозяйственный инвентарь, инструменты, станки и т. д.) </w:t>
      </w:r>
      <w:r w:rsidR="00D2155E">
        <w:rPr>
          <w:lang w:val="ru-RU"/>
        </w:rPr>
        <w:t xml:space="preserve">при </w:t>
      </w:r>
      <w:r w:rsidR="00D2155E" w:rsidRPr="00D2155E">
        <w:rPr>
          <w:lang w:val="ru-RU"/>
        </w:rPr>
        <w:t xml:space="preserve"> одновременно</w:t>
      </w:r>
      <w:r w:rsidR="00D2155E">
        <w:rPr>
          <w:lang w:val="ru-RU"/>
        </w:rPr>
        <w:t>м поступлении</w:t>
      </w:r>
      <w:r w:rsidR="00D2155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признаваемый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объединяются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несущественной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ожидаемого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1D8AAE0" w14:textId="1C479F8A" w:rsidR="008C75C1" w:rsidRDefault="00D2155E" w:rsidP="00D2155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полки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C0438F" w14:textId="77777777" w:rsidR="00D2155E" w:rsidRPr="000C51F4" w:rsidRDefault="00D2155E" w:rsidP="00D2155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200954" w14:textId="1BC27E50" w:rsidR="008C75C1" w:rsidRPr="000C51F4" w:rsidRDefault="0038645A" w:rsidP="0038645A">
      <w:pPr>
        <w:ind w:right="18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омпьютерное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периферийное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системные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мониторы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мыши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сканеры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акустические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захвата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тюнеры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накопители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жестких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учитывается  без объединения в один инвентарный объект.</w:t>
      </w:r>
    </w:p>
    <w:p w14:paraId="39C2866E" w14:textId="06414C47" w:rsidR="008C75C1" w:rsidRPr="0038645A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8645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сочле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капитальном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заменяемых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дующим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6AC048C" w14:textId="3FA31E87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0375FDA" w14:textId="6FD6F7F5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6504BD" w14:textId="036CFAC0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7398A1" w14:textId="77777777" w:rsidR="008C75C1" w:rsidRPr="0038645A" w:rsidRDefault="005766E2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многолетние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насаждения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2B34DC1" w14:textId="77777777" w:rsidR="008C75C1" w:rsidRPr="0038645A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частичной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ликвидируем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03BAA2DC" w14:textId="200523EE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A0678D0" w14:textId="004036E2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5558174" w14:textId="3A863246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весу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541A54" w14:textId="49438DC8" w:rsidR="008C75C1" w:rsidRPr="000C51F4" w:rsidRDefault="0038645A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82E487" w14:textId="77777777" w:rsidR="008C75C1" w:rsidRPr="0038645A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ремонтов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модернизаций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реконструкций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реставраций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перевооружений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дальнейшим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учтенная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списы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8645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585EAFB" w14:textId="3AF959F5" w:rsidR="008C75C1" w:rsidRPr="0038645A" w:rsidRDefault="0038645A" w:rsidP="0038645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947428" w14:textId="0AFCD1B1" w:rsidR="008C75C1" w:rsidRPr="0038645A" w:rsidRDefault="0038645A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5766E2" w:rsidRPr="003864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38D542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A31EB8A" w14:textId="1217ED5A" w:rsidR="008C75C1" w:rsidRPr="000C51F4" w:rsidRDefault="0038645A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25D79E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CD6AA4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остаточная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равнялась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балансовая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увеличиваются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умножаются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переоцененную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80EFCB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находящи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21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балансовой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7C0CE6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первоначальную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079856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EF01DE7" w14:textId="77777777" w:rsidR="008C75C1" w:rsidRPr="000C51F4" w:rsidRDefault="005766E2" w:rsidP="0038645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B7F5F7" w14:textId="0137E84F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99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6DFECF16" w14:textId="31F8A7FB" w:rsidR="008C75C1" w:rsidRPr="000C51F4" w:rsidRDefault="005766E2" w:rsidP="00017C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номенклатурная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62EA9E0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552779" w14:textId="62793304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себестоимостью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D7FC9D" w14:textId="469AC3E4" w:rsidR="008C75C1" w:rsidRPr="00017C91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иказа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17C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F02DA98" w14:textId="77777777" w:rsidR="008C75C1" w:rsidRPr="000C51F4" w:rsidRDefault="005766E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банке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88BE9B" w14:textId="77777777" w:rsidR="008C75C1" w:rsidRPr="000C51F4" w:rsidRDefault="005766E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зарплатную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04FB6D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ужебной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записке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2E6A81" w14:textId="1C8C0A0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штатным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приказу руководителя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9B88B89" w14:textId="468ABD9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7CDFB35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2B046E" w14:textId="01490492" w:rsidR="008C75C1" w:rsidRPr="000C51F4" w:rsidRDefault="00017C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кредитором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списанная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балансового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«Задолженность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кредиторами»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55EA8B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13B6A1" w14:textId="43697FFD" w:rsidR="008C75C1" w:rsidRPr="000C51F4" w:rsidRDefault="00017C91" w:rsidP="00017C9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521A0C" w14:textId="415FF7C2" w:rsidR="008C75C1" w:rsidRPr="000C51F4" w:rsidRDefault="00017C91" w:rsidP="00017C9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действующ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BE3D36" w14:textId="19B0A811" w:rsidR="008C75C1" w:rsidRDefault="00017C91" w:rsidP="00017C91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="005766E2"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6E2"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 w:rsidR="005766E2"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 w:rsidR="005766E2"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5766E2"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 w:rsidR="005766E2">
        <w:rPr>
          <w:rFonts w:hAnsi="Times New Roman" w:cs="Times New Roman"/>
          <w:color w:val="000000"/>
          <w:sz w:val="24"/>
          <w:szCs w:val="24"/>
        </w:rPr>
        <w:t>.</w:t>
      </w:r>
    </w:p>
    <w:p w14:paraId="443F2E50" w14:textId="7D3015CC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арендная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овременным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E089E7" w14:textId="671C72E8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долгосрочным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абонементам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абонемента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Аналогичный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меняется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1750C4" w14:textId="263DDB61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выполненным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величины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долгосрочному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822D9F" w14:textId="19C6E885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созд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91CEC01" w14:textId="7DE9B0B2" w:rsidR="008C75C1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92CA75C" w14:textId="1FA1698F" w:rsidR="00017C91" w:rsidRPr="000C51F4" w:rsidRDefault="00017C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2.резерв по коммунальным платежам.</w:t>
      </w:r>
    </w:p>
    <w:p w14:paraId="41EAC28A" w14:textId="7797F125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17C9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методо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денежными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притоками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оттоками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EDB402" w14:textId="3F422D94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кучетной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оформлены</w:t>
      </w:r>
      <w:r w:rsidRPr="000C5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71F80F9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</w:p>
    <w:p w14:paraId="540BF6B7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</w:p>
    <w:p w14:paraId="50BE9CD6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Санкционирование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</w:p>
    <w:p w14:paraId="3B93AB83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</w:p>
    <w:p w14:paraId="2B279E67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операци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й</w:t>
      </w:r>
    </w:p>
    <w:p w14:paraId="29F498C8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p w14:paraId="3E0FCA7F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</w:p>
    <w:p w14:paraId="7ED83B0E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</w:p>
    <w:p w14:paraId="485E8EE2" w14:textId="77777777" w:rsidR="008C75C1" w:rsidRPr="000C51F4" w:rsidRDefault="005766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51F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</w:p>
    <w:p w14:paraId="7C197739" w14:textId="34F8C8E7" w:rsidR="008C75C1" w:rsidRPr="000C51F4" w:rsidRDefault="008C75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C75C1" w:rsidRPr="000C51F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C5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96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F6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00D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C1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01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20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A0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E7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67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F5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7C91"/>
    <w:rsid w:val="000C51F4"/>
    <w:rsid w:val="002D33B1"/>
    <w:rsid w:val="002D3591"/>
    <w:rsid w:val="003514A0"/>
    <w:rsid w:val="0038645A"/>
    <w:rsid w:val="004F7E17"/>
    <w:rsid w:val="005766E2"/>
    <w:rsid w:val="00580826"/>
    <w:rsid w:val="005A05CE"/>
    <w:rsid w:val="00653AF6"/>
    <w:rsid w:val="00835BCD"/>
    <w:rsid w:val="008C75C1"/>
    <w:rsid w:val="00B73A5A"/>
    <w:rsid w:val="00BD4D78"/>
    <w:rsid w:val="00D2155E"/>
    <w:rsid w:val="00E438A1"/>
    <w:rsid w:val="00E5343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719B"/>
  <w15:docId w15:val="{E7259024-CB33-4E9F-BE30-7905E080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2021-12-14T05:51:00Z</dcterms:created>
  <dcterms:modified xsi:type="dcterms:W3CDTF">2021-12-14T05:51:00Z</dcterms:modified>
</cp:coreProperties>
</file>